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243EE" w:rsidRPr="00343525" w:rsidTr="00D82960">
        <w:tc>
          <w:tcPr>
            <w:tcW w:w="4785" w:type="dxa"/>
          </w:tcPr>
          <w:p w:rsidR="00F243EE" w:rsidRPr="00343525" w:rsidRDefault="00F243EE" w:rsidP="00F243EE">
            <w:pPr>
              <w:pStyle w:val="ae"/>
              <w:jc w:val="left"/>
              <w:rPr>
                <w:sz w:val="28"/>
                <w:szCs w:val="28"/>
              </w:rPr>
            </w:pPr>
            <w:r w:rsidRPr="003435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43EE" w:rsidRPr="00D11EA1" w:rsidRDefault="00F243EE" w:rsidP="00F243E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1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F243EE" w:rsidRPr="00D11EA1" w:rsidRDefault="00F243EE" w:rsidP="00F243E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1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Советом местного самоуправления</w:t>
            </w:r>
          </w:p>
          <w:p w:rsidR="00F243EE" w:rsidRPr="00D11EA1" w:rsidRDefault="00F243EE" w:rsidP="00F243E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1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Карагач</w:t>
            </w:r>
          </w:p>
          <w:p w:rsidR="00F243EE" w:rsidRPr="00D11EA1" w:rsidRDefault="00F243EE" w:rsidP="00F243E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1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от 06.05.2019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1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№58</w:t>
            </w:r>
          </w:p>
          <w:p w:rsidR="00F243EE" w:rsidRPr="00343525" w:rsidRDefault="00F243EE" w:rsidP="00D82960">
            <w:pPr>
              <w:pStyle w:val="ae"/>
              <w:jc w:val="right"/>
              <w:rPr>
                <w:sz w:val="28"/>
                <w:szCs w:val="28"/>
              </w:rPr>
            </w:pPr>
          </w:p>
        </w:tc>
      </w:tr>
    </w:tbl>
    <w:p w:rsidR="00D11EA1" w:rsidRDefault="00D11EA1" w:rsidP="00D15E4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243EE" w:rsidRDefault="00F243EE" w:rsidP="00D11E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243EE" w:rsidRDefault="00F243EE" w:rsidP="00D11E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243EE" w:rsidRDefault="00F243EE" w:rsidP="00D11E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243EE" w:rsidRDefault="00F243EE" w:rsidP="00D11E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11EA1" w:rsidRP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E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УСТАВ</w:t>
      </w:r>
    </w:p>
    <w:p w:rsidR="00D11EA1" w:rsidRP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E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сельского поселения Карагач</w:t>
      </w:r>
    </w:p>
    <w:p w:rsidR="00D11EA1" w:rsidRP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E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Прохладненского муниципального района</w:t>
      </w: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E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Кабардино-Балкарской Республики</w:t>
      </w: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1EA1" w:rsidRDefault="00D11EA1" w:rsidP="00D1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с.п. Карагач</w:t>
      </w:r>
    </w:p>
    <w:p w:rsidR="00D11EA1" w:rsidRDefault="00D11EA1" w:rsidP="00D15E4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</w:t>
      </w:r>
    </w:p>
    <w:p w:rsidR="00D11EA1" w:rsidRDefault="00D11EA1" w:rsidP="00D15E4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066AF" w:rsidRDefault="00A066AF" w:rsidP="00D15E4F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3EE" w:rsidRPr="00A066AF" w:rsidRDefault="00F243EE" w:rsidP="00D15E4F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УСТАВ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ПОСЕЛЕНИЯ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Карагач Прохладненского муниципального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Наименование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статус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образования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Карагач Прохладненского 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 Карагач Прохладненского 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27.02.2005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Республике».</w:t>
      </w:r>
    </w:p>
    <w:p w:rsidR="00CA41AF" w:rsidRPr="00A066AF" w:rsidRDefault="00CA41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Состав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территории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границы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сложившиеся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рекреационного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Карагач Прохладненского 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60D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Границы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CA41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27.02.2005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Республике».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Официальные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символы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геральдическими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культурные,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Правовые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основы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организации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сельском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поселении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общепризнанные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издаваемые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Вопросы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значения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9436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относятся:</w:t>
      </w:r>
    </w:p>
    <w:p w:rsidR="00CA41AF" w:rsidRPr="00CA41AF" w:rsidRDefault="00CA41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CA41AF" w:rsidRPr="00CA41AF" w:rsidRDefault="00CA41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CA41AF" w:rsidRPr="00CA41AF" w:rsidRDefault="00CA41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3206BA" w:rsidRPr="003206BA" w:rsidRDefault="003206BA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электро-,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</w:t>
      </w:r>
      <w:proofErr w:type="gramStart"/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снабжения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3206BA" w:rsidRPr="003206BA" w:rsidRDefault="003206BA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3206BA" w:rsidRPr="003206BA" w:rsidRDefault="003206BA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законодательством;</w:t>
      </w:r>
    </w:p>
    <w:p w:rsidR="003206BA" w:rsidRPr="003206BA" w:rsidRDefault="003206BA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терроризма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экстремизма,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терроризма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экстремизма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межконфессионального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мигрантов,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(межэтнических)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конфликтов;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(памятников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(памятников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(муниципального)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возрождении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промыслов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полосам;</w:t>
      </w:r>
    </w:p>
    <w:p w:rsidR="003206BA" w:rsidRPr="003206BA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сбору)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отходов;</w:t>
      </w:r>
    </w:p>
    <w:p w:rsid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206BA" w:rsidRPr="008775C2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CA41AF" w:rsidRP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реконструированных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поселения)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введен</w:t>
      </w:r>
      <w:proofErr w:type="gramEnd"/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КБР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19.12.2018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845DC" w:rsidRPr="00877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FEB" w:rsidRPr="008775C2">
        <w:rPr>
          <w:rFonts w:ascii="Arial" w:eastAsia="Times New Roman" w:hAnsi="Arial" w:cs="Arial"/>
          <w:sz w:val="24"/>
          <w:szCs w:val="24"/>
          <w:lang w:eastAsia="ru-RU"/>
        </w:rPr>
        <w:t>44-РЗ</w:t>
      </w:r>
      <w:r w:rsidR="003206BA" w:rsidRPr="008775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аварийно-спасательных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аварийно-спасательных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лечебно-оздоровительных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курортов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полиции;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1996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организациях;</w:t>
      </w:r>
    </w:p>
    <w:p w:rsidR="00D15E4F" w:rsidRP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законом;</w:t>
      </w:r>
    </w:p>
    <w:p w:rsidR="00D15E4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Прохладненского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943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Прохладненского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досрочного,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9436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вопросов,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отнесенных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вопросам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значения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нотариуса;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попечительству;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национально-культурных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национально-культурному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туризма;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принудительного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отлову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безнадзорных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обитающих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2300-1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отчислений.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решению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вопросов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значения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9436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CA41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(тарифам)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«Карабудахкентский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район»;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внешнеэкономических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службе;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энергетического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дежурств)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совершеннолетние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трудоспособные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(обнародовано)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органами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государственных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полномочий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субвенций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неограниченный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находящееся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просроченной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обязательств.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ддержки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4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Участие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населения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осуществлении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Российской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Федерации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волеизъявления,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Местный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референдум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выдвинутой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референдуме;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выдвинутой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законом;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выдвинутой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подписей.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референдуме.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выдвинутая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04.08.2004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референдуме».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опубликованию.</w:t>
      </w:r>
    </w:p>
    <w:p w:rsidR="008C08A9" w:rsidRPr="008C08A9" w:rsidRDefault="008C08A9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0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выборы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3075D" w:rsidRP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мажоритарной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 w:rsidRP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 w:rsidRP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многомандатным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всеобщего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12.06.2002г.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.200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C70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A066AF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3075D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D307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6031CE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Голосование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отзыву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депутата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6031CE" w:rsidRPr="006031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противоправные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противоправных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издания.</w:t>
      </w:r>
    </w:p>
    <w:p w:rsidR="00A066AF" w:rsidRPr="00A066AF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отозванными,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(избирательном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округе).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Голосование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вопросам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изменения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границ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преобразования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поселений.</w:t>
      </w:r>
    </w:p>
    <w:p w:rsidR="00A066AF" w:rsidRPr="00605991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04.08.2004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референдуме»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состоявшимся,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</w:t>
      </w:r>
      <w:r w:rsid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15.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Правотворческая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инициатива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</w:p>
    <w:p w:rsidR="00A066AF" w:rsidRPr="00A066AF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A066AF" w:rsidRPr="00A066AF" w:rsidRDefault="00DD6C0D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внесшей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Территориальное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общественное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самоуправление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граждан: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подъезд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микрорайон;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являющийся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поселением;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организации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общественного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правомочным,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шестнадцатилетнего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шестнадцатилетнего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взаимоотношениях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самоуправления:</w:t>
      </w:r>
    </w:p>
    <w:p w:rsidR="00A066AF" w:rsidRPr="00A066AF" w:rsidRDefault="001E6DF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социально-бытовых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Публичные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слушания,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общественные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обсуждения.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DFC" w:rsidRPr="001E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выноситься: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Собрание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выносимый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взаимоотношениях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отнесенным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делегатов)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Опрос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</w:p>
    <w:p w:rsidR="00605991" w:rsidRPr="00605991" w:rsidRDefault="00846EF3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05991"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характер.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добровольным.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голосом.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принудить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неучастию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воспрепятствовать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мнения.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инициативе: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значения;</w:t>
      </w:r>
    </w:p>
    <w:p w:rsidR="00605991" w:rsidRPr="00605991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межрегионального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A066AF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5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КБР.</w:t>
      </w:r>
    </w:p>
    <w:p w:rsidR="00605991" w:rsidRPr="00A066AF" w:rsidRDefault="00605991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Обращения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02.05.2006г.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Другие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непосредственного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населением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участия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осуществлении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Органы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должностные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лица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распорядительный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846EF3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иначе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46E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 w:rsidRP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 w:rsidRPr="006031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Карагач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выборах.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половины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месяца.</w:t>
      </w:r>
    </w:p>
    <w:p w:rsidR="00A066AF" w:rsidRPr="00A066AF" w:rsidRDefault="00846EF3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 w:rsidRP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6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Прохладненского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делегируют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6031CE" w:rsidRPr="006031C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делегируемых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Прохладненского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делегированного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Прохладненского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Прохладненского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25.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Структура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51050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стражу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 w:rsidRP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316C25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Компетенция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053FE0"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316C25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находится:</w:t>
      </w:r>
    </w:p>
    <w:p w:rsidR="00A066AF" w:rsidRPr="00A066AF" w:rsidRDefault="00316C25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дополнений;</w:t>
      </w:r>
    </w:p>
    <w:p w:rsidR="00A066AF" w:rsidRPr="00A066AF" w:rsidRDefault="00316C25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исполнении;</w:t>
      </w:r>
    </w:p>
    <w:p w:rsidR="00A066AF" w:rsidRPr="00A066AF" w:rsidRDefault="00316C25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сотрудничества;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 w:rsidRP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Досрочное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прекращение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316C2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16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самороспуске;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неправомочности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упразднения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волеизъявления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12.06.2002г.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67-ФЗ.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Депутат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372F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 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созыва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Депутаты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(представительных)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партией,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съезде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(конференции)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жилищно-строительного,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гаражного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ревизионной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(акционером,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находящимися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капитале);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законами;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преподавательской,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преподавательская,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попечительских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неправительственных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жизнеобеспечения,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инфраструктуры.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митингах,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шествиях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пикетированиях.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Воспрепятствование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митингах,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шествиях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пикетированиях,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01AF" w:rsidRPr="00A20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аресте,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обыске,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допросе,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уголовно-процессуальных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административно-процессуальных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оперативно-розыскных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багажа,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переписки,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утатом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представительства)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гражданскому,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каких-либо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4AE4" w:rsidRP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оргтехникой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24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Досрочное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прекращение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депутата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недееспособным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дееспособным;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безвестно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умершим;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обвинительного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остоянное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заменяющую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альтернативную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службу;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доходам»,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79-ФЗ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(вклады),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инструментами».</w:t>
      </w:r>
    </w:p>
    <w:p w:rsidR="00A066AF" w:rsidRPr="00A066A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появилось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031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031CE"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председателя.</w:t>
      </w:r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кандидатам.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другого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подавший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6031CE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031CE"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031CE"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пятнадцатый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proofErr w:type="gramStart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клятву: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«Вступая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клянусь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отстаивать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приумножать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честно,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процветания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жителей».</w:t>
      </w:r>
      <w:proofErr w:type="gramEnd"/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Карагач 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031CE" w:rsidRP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31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Карагач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proofErr w:type="gramStart"/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46652" w:rsidRPr="00F46652" w:rsidRDefault="00F4665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46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партией,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съезде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(конференции)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жилищно-строительного,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гаражного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ревизионной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(акционером,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находящимися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капитале);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законами;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преподавательской,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преподавательская,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попечительских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неправительственных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доходам»,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(вклады),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инструментами».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аресте,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обыске,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допросе,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уголовно-процессуальных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административно-процессуальных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оперативно-розыскных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багажа,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переписки,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представительства)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гражданскому,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правонарушении.</w:t>
      </w:r>
    </w:p>
    <w:p w:rsidR="00A066AF" w:rsidRPr="00A066AF" w:rsidRDefault="00372FB0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подконтролен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подотчетен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процессуального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стражу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0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BE134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BE1344" w:rsidRPr="00BE1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инициирует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внеочередного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покрываемые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банках;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арбитражном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суды;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приостанавливает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партнерства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13.07.2015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224-ФЗ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партнерстве,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партнерстве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2FB0" w:rsidRPr="00372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Досрочное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прекращение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BE1344" w:rsidRP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 w:rsidRPr="00BE1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случае: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недееспособным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дееспособным;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безвестно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умершим;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обвинительного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избирателями;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неспособности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упразднения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230-Ф3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доходам»,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(вклады),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инструментами».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344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962F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Местная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962F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дминистрация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BE1344" w:rsidRP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 w:rsidRPr="00BE1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Карагач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исполнительно-распорядительный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единоначалия.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распорядителем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подотчетна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Структура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962FC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администрации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BE134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</w:t>
      </w:r>
      <w:r w:rsid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962FC4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(функциональные)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t xml:space="preserve"> </w:t>
      </w:r>
      <w:r w:rsidR="00962FC4" w:rsidRPr="00962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(секретарь)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Заместители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27572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27572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35.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27572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администрации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BE134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эмитента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нестационарных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контроль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26.12.2008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(функциональные)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Контрольно-счетный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подотчетна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07.02.2011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Избирательная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комиссия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340DCB" w:rsidRPr="00340DCB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истекает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кампании,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голоса.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1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Карагач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предвыборной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агитации,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агитации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референдума;</w:t>
      </w:r>
      <w:proofErr w:type="gramEnd"/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референдумов;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референдума;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(заявления)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нижестоящих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(заявлениям)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решения;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340DCB" w:rsidRPr="0098503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Карагач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D15E4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12.06.2002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18.02.2003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Республики».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–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юридические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лица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08.08.2001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предпринимателей».</w:t>
      </w:r>
      <w:proofErr w:type="gramEnd"/>
    </w:p>
    <w:p w:rsidR="00A066AF" w:rsidRPr="00A066AF" w:rsidRDefault="0098503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785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 w:rsidRP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Муниципальная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служба,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должности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службы</w:t>
      </w:r>
    </w:p>
    <w:p w:rsidR="00340DCB" w:rsidRPr="00340DCB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(контракта).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утверждённым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04.07.1998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8-РЗ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Республике».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Кабардино-Балкарской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выплачиваемое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служащими.</w:t>
      </w:r>
    </w:p>
    <w:p w:rsidR="00340DCB" w:rsidRP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340DCB" w:rsidRDefault="00340DC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Условия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прохождения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службы</w:t>
      </w:r>
    </w:p>
    <w:p w:rsidR="00A066AF" w:rsidRPr="00340DCB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02.03.2007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02.03.2007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</w:p>
    <w:p w:rsidR="00A066AF" w:rsidRPr="00340DCB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340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прохождения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гарантии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службы</w:t>
      </w:r>
    </w:p>
    <w:p w:rsidR="00A066AF" w:rsidRPr="00A066AF" w:rsidRDefault="00E75AD0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02.03.2007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претендентов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 w:rsidRP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 w:rsidRP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5AD0" w:rsidRPr="00E75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нанимателя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(работодатель)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02.03.2007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02.03.2007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МУНИЦИПАЛЬНЫЕ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ПРАВОВЫЕ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АКТЫ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Система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актов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общеобязательные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характер.</w:t>
      </w:r>
    </w:p>
    <w:p w:rsid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необоснованно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волеизъявления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(издание)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(издание)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акта.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волеизъявления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4DB8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Устав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074D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Карагач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2/3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(обнародованием)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 w:rsidRP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21.07.2005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(обнародовать)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45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Содержание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благоустройства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территории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травянистыми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растениями;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вывесок;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площадок,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животных,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дорожек,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тропинок;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Подготовка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принятие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актов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выборными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прокурором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Прохладненского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проекты.</w:t>
      </w:r>
    </w:p>
    <w:p w:rsidR="00A066AF" w:rsidRPr="00A066AF" w:rsidRDefault="0098503B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98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490"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изменяющих,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приостанавливающих,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отменяющих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сборы;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избыточные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введению,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необоснованных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Подписание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вступление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силу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актов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дополнений.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Отмена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актов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приостановление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действия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(издавшими)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упразднения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(издание)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(издавшим)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предпринимателей.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исполнительно-распорядительные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трехдневный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недействующими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актов.</w:t>
      </w:r>
      <w:proofErr w:type="gramEnd"/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E94490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ЭКОНОМИЧЕСКАЯ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имущество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формирования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Экономическую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находящееся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наравне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перепрофилированию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(изменению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отчуждению.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Владение,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пользование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распоряжением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имуществом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2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отчуждать,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межмуниципальных,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условия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приватизации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собственности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(местный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бюджет)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9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образованиями.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55.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Доходы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платежах.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Расходы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Исполнение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контроль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исполнением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контрольно-счетным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Разработка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проекта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1.Разработку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Рассмотрение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утверждение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бюджета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Средства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самообложения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уменьшен.</w:t>
      </w:r>
    </w:p>
    <w:p w:rsidR="00A066AF" w:rsidRPr="00A066AF" w:rsidRDefault="006A753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референдуме,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Закупки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для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обеспечения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нужд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Муниципальные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заимствования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6A753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ГАРАНТИИ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ГРАЖДАН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МЕСТНОЕ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САМОУПРАВЛЕНИЕ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ОТВЕТСТВЕННОСТЬ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ОРГАНОВ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ДОЛЖНОСТНЫХ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ЛИЦ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МЕСТНОГО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САМОУПРАВЛЕНИЯ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СЕЛЬСКОГО</w:t>
      </w:r>
      <w:r w:rsidR="00483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31E3"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Гарантии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сельском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поселении</w:t>
      </w:r>
    </w:p>
    <w:p w:rsidR="00A066AF" w:rsidRPr="00A066AF" w:rsidRDefault="006A753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6A753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самоуправление.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3A0F32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должностных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066AF"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65.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поселения,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депутатов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перед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населением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66.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должностных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перед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государством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полномочий.</w:t>
      </w:r>
      <w:proofErr w:type="gramEnd"/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67.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</w:t>
      </w:r>
      <w:r w:rsidR="00074D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D6C0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перед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государством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(представительный)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установившего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(представительный)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распущенного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роспуске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непроведение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 w:rsidRP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подряд.</w:t>
      </w:r>
      <w:proofErr w:type="gramEnd"/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68.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перед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государством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целостности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обороноспособности,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нецелевое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трансфертов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69.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Удаление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главы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отставку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06.10.2003г.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(повлекшее)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подряд;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коррупции»,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доходам»,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79-ФЗ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(вклады),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банках,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инструментами»;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равенства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расовой,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межконфессионального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межнациональных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(межэтнических)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межконфессиональных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выдвинутая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касающихся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(повлекшего)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последствий,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F91" w:rsidRP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36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депутатом,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председательствующим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A6A" w:rsidRP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A6A" w:rsidRP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A6A" w:rsidRP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обеспечены: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отставку;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поводу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выдвигаемых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мнение.</w:t>
      </w:r>
    </w:p>
    <w:p w:rsidR="00A066AF" w:rsidRPr="006A753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B1A6A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изложил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6A753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отклонена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вынесен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рассматривался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отставку,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70.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должностных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поселения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перед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физическими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юридическими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лицами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наступает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71.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Контроль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надзор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деятельностью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должностных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лиц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proofErr w:type="gramEnd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конституционных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функциями,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(надзору),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72.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Обжалование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решений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действий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суд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обжалованы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A066AF" w:rsidRPr="00A066AF" w:rsidRDefault="006845DC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73.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Временное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осуществление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органами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государственной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власти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отдельных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полномочий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органов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местного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самоуправления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КБР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06.10.2003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VIII.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ЗАКЛЮЧИТЕЛЬНЫЕ</w:t>
      </w:r>
      <w:r w:rsidR="00684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ПОЛОЖЕНИЯ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74.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вступления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действие</w:t>
      </w:r>
      <w:r w:rsidR="006845D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066A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Устава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21.07.2005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97-ФЗ.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(обнародованию)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вступают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законодательства.</w:t>
      </w:r>
    </w:p>
    <w:p w:rsidR="00A066AF" w:rsidRPr="00A066AF" w:rsidRDefault="00A066AF" w:rsidP="00D15E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силу:</w:t>
      </w:r>
    </w:p>
    <w:p w:rsidR="00B2021E" w:rsidRDefault="00A066AF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Карагач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принятый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753F" w:rsidRP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Карагач 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877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06.05.2019 г.</w:t>
      </w:r>
      <w:r w:rsidRPr="00A066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877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="006A7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775C2" w:rsidRDefault="008775C2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5C2" w:rsidRDefault="008775C2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75C2" w:rsidRDefault="008775C2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2516" w:rsidRDefault="008775C2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</w:t>
      </w:r>
      <w:r w:rsidR="00C72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2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2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2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</w:p>
    <w:p w:rsidR="00C72516" w:rsidRDefault="00C72516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74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Карагач</w:t>
      </w:r>
    </w:p>
    <w:p w:rsidR="00C72516" w:rsidRDefault="00074DB8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Прохладненского муниципального </w:t>
      </w:r>
      <w:r w:rsidR="00C725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877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А.Т.Кертов</w:t>
      </w:r>
      <w:r w:rsidR="00684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72516" w:rsidRPr="008775C2" w:rsidRDefault="008775C2" w:rsidP="008775C2">
      <w:r>
        <w:t xml:space="preserve"> </w:t>
      </w:r>
    </w:p>
    <w:p w:rsidR="00C72516" w:rsidRPr="00C72516" w:rsidRDefault="00C72516" w:rsidP="00C725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72516" w:rsidRPr="00C72516" w:rsidSect="003206BA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7B" w:rsidRDefault="00907A7B" w:rsidP="003206BA">
      <w:pPr>
        <w:spacing w:after="0" w:line="240" w:lineRule="auto"/>
      </w:pPr>
      <w:r>
        <w:separator/>
      </w:r>
    </w:p>
  </w:endnote>
  <w:endnote w:type="continuationSeparator" w:id="0">
    <w:p w:rsidR="00907A7B" w:rsidRDefault="00907A7B" w:rsidP="0032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7B" w:rsidRDefault="00907A7B" w:rsidP="003206BA">
      <w:pPr>
        <w:spacing w:after="0" w:line="240" w:lineRule="auto"/>
      </w:pPr>
      <w:r>
        <w:separator/>
      </w:r>
    </w:p>
  </w:footnote>
  <w:footnote w:type="continuationSeparator" w:id="0">
    <w:p w:rsidR="00907A7B" w:rsidRDefault="00907A7B" w:rsidP="0032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589768"/>
      <w:docPartObj>
        <w:docPartGallery w:val="Page Numbers (Top of Page)"/>
        <w:docPartUnique/>
      </w:docPartObj>
    </w:sdtPr>
    <w:sdtContent>
      <w:p w:rsidR="00D82960" w:rsidRDefault="00D82960">
        <w:pPr>
          <w:pStyle w:val="a7"/>
          <w:jc w:val="center"/>
        </w:pPr>
        <w:fldSimple w:instr="PAGE   \* MERGEFORMAT">
          <w:r w:rsidR="009D365E">
            <w:rPr>
              <w:noProof/>
            </w:rPr>
            <w:t>1</w:t>
          </w:r>
        </w:fldSimple>
      </w:p>
    </w:sdtContent>
  </w:sdt>
  <w:p w:rsidR="00D82960" w:rsidRDefault="00D829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88"/>
    <w:rsid w:val="00053FE0"/>
    <w:rsid w:val="00074DB8"/>
    <w:rsid w:val="00076243"/>
    <w:rsid w:val="001027A3"/>
    <w:rsid w:val="00106A99"/>
    <w:rsid w:val="00175EC2"/>
    <w:rsid w:val="0018201E"/>
    <w:rsid w:val="001A0A2F"/>
    <w:rsid w:val="001E6DFC"/>
    <w:rsid w:val="0027572F"/>
    <w:rsid w:val="00316C25"/>
    <w:rsid w:val="003206BA"/>
    <w:rsid w:val="00331BFD"/>
    <w:rsid w:val="00340DCB"/>
    <w:rsid w:val="00361F91"/>
    <w:rsid w:val="00372FB0"/>
    <w:rsid w:val="003A0F32"/>
    <w:rsid w:val="004831E3"/>
    <w:rsid w:val="004C476F"/>
    <w:rsid w:val="004E769C"/>
    <w:rsid w:val="00510508"/>
    <w:rsid w:val="005745EA"/>
    <w:rsid w:val="006031CE"/>
    <w:rsid w:val="00605991"/>
    <w:rsid w:val="0065760A"/>
    <w:rsid w:val="006845DC"/>
    <w:rsid w:val="006A2B45"/>
    <w:rsid w:val="006A753F"/>
    <w:rsid w:val="006B1A6A"/>
    <w:rsid w:val="00785D2A"/>
    <w:rsid w:val="00846EF3"/>
    <w:rsid w:val="008775C2"/>
    <w:rsid w:val="00887C26"/>
    <w:rsid w:val="008B4FE6"/>
    <w:rsid w:val="008C08A9"/>
    <w:rsid w:val="00907A7B"/>
    <w:rsid w:val="00912FEB"/>
    <w:rsid w:val="0094360D"/>
    <w:rsid w:val="00962FC4"/>
    <w:rsid w:val="0098503B"/>
    <w:rsid w:val="009D365E"/>
    <w:rsid w:val="00A066AF"/>
    <w:rsid w:val="00A201AF"/>
    <w:rsid w:val="00AC6A56"/>
    <w:rsid w:val="00B2021E"/>
    <w:rsid w:val="00B527E6"/>
    <w:rsid w:val="00B5635D"/>
    <w:rsid w:val="00BA5053"/>
    <w:rsid w:val="00BE1344"/>
    <w:rsid w:val="00C41E68"/>
    <w:rsid w:val="00C72516"/>
    <w:rsid w:val="00CA41AF"/>
    <w:rsid w:val="00D11EA1"/>
    <w:rsid w:val="00D15E4F"/>
    <w:rsid w:val="00D24AE4"/>
    <w:rsid w:val="00D3075D"/>
    <w:rsid w:val="00D82960"/>
    <w:rsid w:val="00DD6C0D"/>
    <w:rsid w:val="00DF0C9D"/>
    <w:rsid w:val="00E01F1E"/>
    <w:rsid w:val="00E73E2B"/>
    <w:rsid w:val="00E75AD0"/>
    <w:rsid w:val="00E94490"/>
    <w:rsid w:val="00E94C50"/>
    <w:rsid w:val="00EE2C70"/>
    <w:rsid w:val="00F20981"/>
    <w:rsid w:val="00F243EE"/>
    <w:rsid w:val="00F35988"/>
    <w:rsid w:val="00F46652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6"/>
  </w:style>
  <w:style w:type="paragraph" w:styleId="1">
    <w:name w:val="heading 1"/>
    <w:aliases w:val="!Части документа"/>
    <w:basedOn w:val="a"/>
    <w:next w:val="a"/>
    <w:link w:val="10"/>
    <w:qFormat/>
    <w:rsid w:val="00F359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359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3598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3598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598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3598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3598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3598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5988"/>
  </w:style>
  <w:style w:type="character" w:styleId="a3">
    <w:name w:val="Hyperlink"/>
    <w:basedOn w:val="a0"/>
    <w:uiPriority w:val="99"/>
    <w:semiHidden/>
    <w:unhideWhenUsed/>
    <w:rsid w:val="00F3598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598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F3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F3598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F3598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3598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F3598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3598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3598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3598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598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"/>
    <w:basedOn w:val="a"/>
    <w:semiHidden/>
    <w:unhideWhenUsed/>
    <w:rsid w:val="00F35988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b"/>
    <w:semiHidden/>
    <w:unhideWhenUsed/>
    <w:rsid w:val="00F35988"/>
    <w:pPr>
      <w:widowControl w:val="0"/>
      <w:spacing w:after="220" w:line="216" w:lineRule="auto"/>
      <w:ind w:left="1800" w:right="-360" w:hanging="360"/>
    </w:pPr>
    <w:rPr>
      <w:sz w:val="20"/>
      <w:szCs w:val="20"/>
    </w:rPr>
  </w:style>
  <w:style w:type="paragraph" w:customStyle="1" w:styleId="ConsNonformat">
    <w:name w:val="ConsNonformat"/>
    <w:rsid w:val="00F35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3598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359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3598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598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598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3598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35988"/>
    <w:rPr>
      <w:sz w:val="28"/>
    </w:rPr>
  </w:style>
  <w:style w:type="numbering" w:customStyle="1" w:styleId="23">
    <w:name w:val="Нет списка2"/>
    <w:next w:val="a2"/>
    <w:uiPriority w:val="99"/>
    <w:semiHidden/>
    <w:unhideWhenUsed/>
    <w:rsid w:val="00A066AF"/>
  </w:style>
  <w:style w:type="paragraph" w:styleId="ac">
    <w:name w:val="Normal (Web)"/>
    <w:basedOn w:val="a"/>
    <w:uiPriority w:val="99"/>
    <w:semiHidden/>
    <w:unhideWhenUsed/>
    <w:rsid w:val="00A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A066AF"/>
  </w:style>
  <w:style w:type="character" w:customStyle="1" w:styleId="find-button">
    <w:name w:val="find-button"/>
    <w:basedOn w:val="a0"/>
    <w:rsid w:val="00A066AF"/>
  </w:style>
  <w:style w:type="paragraph" w:styleId="ad">
    <w:name w:val="List Paragraph"/>
    <w:basedOn w:val="a"/>
    <w:uiPriority w:val="34"/>
    <w:qFormat/>
    <w:rsid w:val="00846EF3"/>
    <w:pPr>
      <w:ind w:left="720"/>
      <w:contextualSpacing/>
    </w:pPr>
  </w:style>
  <w:style w:type="paragraph" w:styleId="ae">
    <w:name w:val="Body Text"/>
    <w:basedOn w:val="a"/>
    <w:link w:val="af"/>
    <w:semiHidden/>
    <w:rsid w:val="00F243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243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359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359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3598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3598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598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3598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3598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3598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5988"/>
  </w:style>
  <w:style w:type="character" w:styleId="a3">
    <w:name w:val="Hyperlink"/>
    <w:basedOn w:val="a0"/>
    <w:uiPriority w:val="99"/>
    <w:semiHidden/>
    <w:unhideWhenUsed/>
    <w:rsid w:val="00F3598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598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F3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F35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F3598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F3598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3598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F3598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3598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3598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3598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598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"/>
    <w:basedOn w:val="a"/>
    <w:semiHidden/>
    <w:unhideWhenUsed/>
    <w:rsid w:val="00F35988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b"/>
    <w:semiHidden/>
    <w:unhideWhenUsed/>
    <w:rsid w:val="00F35988"/>
    <w:pPr>
      <w:widowControl w:val="0"/>
      <w:spacing w:after="220" w:line="216" w:lineRule="auto"/>
      <w:ind w:left="1800" w:right="-360" w:hanging="360"/>
    </w:pPr>
    <w:rPr>
      <w:sz w:val="20"/>
      <w:szCs w:val="20"/>
    </w:rPr>
  </w:style>
  <w:style w:type="paragraph" w:customStyle="1" w:styleId="ConsNonformat">
    <w:name w:val="ConsNonformat"/>
    <w:rsid w:val="00F35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3598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359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3598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598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598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3598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35988"/>
    <w:rPr>
      <w:sz w:val="28"/>
    </w:rPr>
  </w:style>
  <w:style w:type="numbering" w:customStyle="1" w:styleId="23">
    <w:name w:val="Нет списка2"/>
    <w:next w:val="a2"/>
    <w:uiPriority w:val="99"/>
    <w:semiHidden/>
    <w:unhideWhenUsed/>
    <w:rsid w:val="00A066AF"/>
  </w:style>
  <w:style w:type="paragraph" w:styleId="ac">
    <w:name w:val="Normal (Web)"/>
    <w:basedOn w:val="a"/>
    <w:uiPriority w:val="99"/>
    <w:semiHidden/>
    <w:unhideWhenUsed/>
    <w:rsid w:val="00A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A066AF"/>
  </w:style>
  <w:style w:type="character" w:customStyle="1" w:styleId="find-button">
    <w:name w:val="find-button"/>
    <w:basedOn w:val="a0"/>
    <w:rsid w:val="00A066AF"/>
  </w:style>
  <w:style w:type="paragraph" w:styleId="ad">
    <w:name w:val="List Paragraph"/>
    <w:basedOn w:val="a"/>
    <w:uiPriority w:val="34"/>
    <w:qFormat/>
    <w:rsid w:val="0084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C7FA-8F60-430C-BA26-324B120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24912</Words>
  <Characters>142003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Марьяна Хусеновна</dc:creator>
  <cp:lastModifiedBy>Admin</cp:lastModifiedBy>
  <cp:revision>11</cp:revision>
  <cp:lastPrinted>2019-05-27T12:55:00Z</cp:lastPrinted>
  <dcterms:created xsi:type="dcterms:W3CDTF">2018-12-14T12:17:00Z</dcterms:created>
  <dcterms:modified xsi:type="dcterms:W3CDTF">2019-05-28T05:08:00Z</dcterms:modified>
</cp:coreProperties>
</file>